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72.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23</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t xml:space="preserve">Northern Pikeminnow are estimated to consume 8% (16.4 million) of the estimated 200 million juvenile salmonids emigrating through the lower Snake and Columbia rivers, annually</w:t>
      </w:r>
      <w:r>
        <w:t xml:space="preserve"> </w:t>
      </w:r>
      <w:r>
        <w:t xml:space="preserve">(Beamesderfer et al. 1996)</w:t>
      </w:r>
      <w:r>
        <w:t xml:space="preserve">. Dams and reservoirs in the Columbia River are associated with high rates of predation on salmonids</w:t>
      </w:r>
      <w:r>
        <w:t xml:space="preserve"> </w:t>
      </w:r>
      <w:r>
        <w:t xml:space="preserve">(Petersen 1994; Ward et al. 1995)</w:t>
      </w:r>
      <w:r>
        <w:t xml:space="preserve">. Because migration rates of juvenile Chinook Salmon are reduced during reservoir passage</w:t>
      </w:r>
      <w:r>
        <w:t xml:space="preserve"> </w:t>
      </w:r>
      <w:r>
        <w:t xml:space="preserve">(Venditti et al. 2000)</w:t>
      </w:r>
      <w:r>
        <w:t xml:space="preserve">, migrating smolts may become more vulnerable to predation in areas with slower velocities. Most of the research has been targeted around dams and reservoirs, but there are areas functioning similar to a reservoir in the ruvers upstream. One of these areas is the Deadwater Slough in the Salmon River. The Deadwater Slough is a 25.3-acre area that is unnaturally slow and deep within the Salmon River and resembles a small reservoir (Figure</w:t>
      </w:r>
      <w:r>
        <w:t xml:space="preserve"> </w:t>
      </w:r>
      <w:r>
        <w:t xml:space="preserve">1</w:t>
      </w:r>
      <w:r>
        <w:t xml:space="preserve">). This unnatural area has little to no cover, higher depth, and fine substrate which favor piscivorous fish predators (e.g., northern pikeminnow</w:t>
      </w:r>
      <w:r>
        <w:t xml:space="preserve"> </w:t>
      </w:r>
      <w:r>
        <w:rPr>
          <w:iCs/>
          <w:i/>
        </w:rPr>
        <w:t xml:space="preserve">Ptychocheilus oregonensis</w:t>
      </w:r>
      <w:r>
        <w:t xml:space="preserve">, smallmouth bass</w:t>
      </w:r>
      <w:r>
        <w:t xml:space="preserve"> </w:t>
      </w:r>
      <w:r>
        <w:rPr>
          <w:iCs/>
          <w:i/>
        </w:rPr>
        <w:t xml:space="preserve">Micropterus dolomieu</w:t>
      </w:r>
      <w:r>
        <w:t xml:space="preserve">)</w:t>
      </w:r>
      <w:r>
        <w:t xml:space="preserve"> </w:t>
      </w:r>
      <w:r>
        <w:t xml:space="preserve">(Watkins et al. 2015)</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3"/>
        </w:numPr>
        <w:pStyle w:val="Compact"/>
      </w:pPr>
      <w:r>
        <w:t xml:space="preserve">Estimate the abundance (or relative abundance) of potential predators in the Deadwater Slough during the peaks of fall (DSR) and spring (NRR) juvenile emigrations.</w:t>
      </w:r>
    </w:p>
    <w:p>
      <w:pPr>
        <w:numPr>
          <w:ilvl w:val="0"/>
          <w:numId w:val="1003"/>
        </w:numPr>
        <w:pStyle w:val="Compact"/>
      </w:pPr>
      <w:r>
        <w:t xml:space="preserve">Document predation on juvenile Chinook Salmon during the emigration periods using gastric lavage.</w:t>
      </w:r>
    </w:p>
    <w:p>
      <w:pPr>
        <w:numPr>
          <w:ilvl w:val="0"/>
          <w:numId w:val="1003"/>
        </w:numPr>
        <w:pStyle w:val="Compact"/>
      </w:pPr>
      <w:r>
        <w:t xml:space="preserve">Use a bioenergetics approach to estimate the total consumption of juvenile DSR and NRR Chinook salmon during defined emigration periods.</w:t>
      </w:r>
    </w:p>
    <w:p>
      <w:pPr>
        <w:numPr>
          <w:ilvl w:val="0"/>
          <w:numId w:val="1003"/>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4"/>
        </w:numPr>
        <w:pStyle w:val="Compact"/>
      </w:pPr>
      <w:r>
        <w:t xml:space="preserve">Capture methods used - We initially attempted electrofishing, snorkeling, netting, others?, but eventually settled on angling as best method for mark-recapture.</w:t>
      </w:r>
    </w:p>
    <w:p>
      <w:pPr>
        <w:numPr>
          <w:ilvl w:val="0"/>
          <w:numId w:val="1004"/>
        </w:numPr>
        <w:pStyle w:val="Compact"/>
      </w:pPr>
      <w:r>
        <w:t xml:space="preserve">Mark-recapture - We kept the mark and recapture events close together in an attempt to use a closed population model</w:t>
      </w:r>
    </w:p>
    <w:p>
      <w:pPr>
        <w:numPr>
          <w:ilvl w:val="0"/>
          <w:numId w:val="1004"/>
        </w:numPr>
        <w:pStyle w:val="Compact"/>
      </w:pPr>
      <w:r>
        <w:t xml:space="preserve">What are the assumptions of a closed population model?</w:t>
      </w:r>
    </w:p>
    <w:p>
      <w:pPr>
        <w:numPr>
          <w:ilvl w:val="0"/>
          <w:numId w:val="1004"/>
        </w:numPr>
        <w:pStyle w:val="Compact"/>
      </w:pPr>
      <w:r>
        <w:t xml:space="preserve">How was sampling performed? What relevant information was captured for each fish? How/where were fish released? How was effort recorded to calculate CPUE?</w:t>
      </w:r>
    </w:p>
    <w:p>
      <w:pPr>
        <w:numPr>
          <w:ilvl w:val="0"/>
          <w:numId w:val="1004"/>
        </w:numPr>
        <w:pStyle w:val="Compact"/>
      </w:pPr>
      <w:r>
        <w:t xml:space="preserve">Description of sampling time frame:</w:t>
      </w:r>
    </w:p>
    <w:p>
      <w:pPr>
        <w:numPr>
          <w:ilvl w:val="1"/>
          <w:numId w:val="1005"/>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5"/>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5"/>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We additionally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603 had empty stomachs, 57 had stomach contents, 12 had fish parts, and of those 12 with fish parts 1 MWF and 2 shiners. During the 2020 season 805 northern pikeminnow were gastric lavaged with 613 empty stomachs, 188 with stomach contents and 23 with fish parts. Out of the 23 stomachs with fish parts present 10 were unknown, 6 red sided shiner, 4 suckers, 2 sculpin, and 1 chinook. In 2021, we had 105 stomach samples with 98 being non-fish and 7 having fish or fish parts.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If we extrapolate this out to the potential effect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having the potential to consume *</w:t>
      </w:r>
      <w:r>
        <w:rPr>
          <w:bCs/>
          <w:b/>
        </w:rPr>
        <w:t xml:space="preserve">xxx</w:t>
      </w:r>
      <w:r>
        <w:t xml:space="preserve"> </w:t>
      </w:r>
      <w:r>
        <w:t xml:space="preserve">juvenile Chinook as a discrete population.</w:t>
      </w:r>
    </w:p>
    <w:p>
      <w:pPr>
        <w:pStyle w:val="BodyText"/>
      </w:pPr>
      <w:r>
        <w:t xml:space="preserve">Over the point of a whole year, a single northern pikeminnow is modeled to eat 283 g of fish and 613 g of other food types.</w:t>
      </w:r>
    </w:p>
    <w:bookmarkEnd w:id="30"/>
    <w:bookmarkStart w:id="31" w:name="impacts-to-adult-returns-1"/>
    <w:p>
      <w:pPr>
        <w:pStyle w:val="Heading2"/>
      </w:pPr>
      <w:r>
        <w:t xml:space="preserve">Impacts to Adult Returns</w:t>
      </w:r>
    </w:p>
    <w:p>
      <w:pPr>
        <w:numPr>
          <w:ilvl w:val="0"/>
          <w:numId w:val="1006"/>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emply, 345 (21.6%) had stomach contents, and 35 (2.2%) contained fish remnants. We were able to identify juvenile Red Shiners, a Largescale Sucker, Sculpin, Mountain Whitefish, and one Chinook Salmon within stomach contents, but most samples were too digested to identify to species.</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to upriver populations. Presumably, that reduction in adult returns impacts both the ESA-listed natural populations in the Upper Salmon River MPG plus the two hatchery populations in the Upper Salmon, Pahsimeroi and Sawtooth hatcheries, which provide for recreational fishing opportunities. Fisheries managers desire increased adult returns to both aide in the recovery of natural populations as well as to provide additional harvest in recreational fisheries to boost local economies. A reduction in predation mortality at Deadwater Slough on juvenile Chinook Salmon has potential to benefit multiple upriver natural and hatchery populations, in contrast to typical tributary habitat rehabilition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7"/>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7"/>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66" w:name="literature-cited"/>
    <w:p>
      <w:pPr>
        <w:pStyle w:val="Heading1"/>
      </w:pPr>
      <w:r>
        <w:t xml:space="preserve">Literature Cited</w:t>
      </w:r>
    </w:p>
    <w:bookmarkStart w:id="65"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3"/>
    <w:bookmarkStart w:id="54"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4"/>
    <w:bookmarkStart w:id="55"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5"/>
    <w:bookmarkStart w:id="56"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6"/>
    <w:bookmarkStart w:id="57"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7"/>
    <w:bookmarkStart w:id="58"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58"/>
    <w:bookmarkStart w:id="59"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59"/>
    <w:bookmarkStart w:id="60"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0"/>
    <w:bookmarkStart w:id="6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61"/>
    <w:bookmarkStart w:id="62"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2"/>
    <w:bookmarkStart w:id="63"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3"/>
    <w:bookmarkStart w:id="64"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4"/>
    <w:bookmarkEnd w:id="65"/>
    <w:p>
      <w:r>
        <w:br w:type="page"/>
      </w:r>
    </w:p>
    <w:bookmarkEnd w:id="66"/>
    <w:bookmarkStart w:id="68" w:name="tables"/>
    <w:p>
      <w:pPr>
        <w:pStyle w:val="Heading1"/>
      </w:pPr>
      <w:r>
        <w:t xml:space="preserve">Tables</w:t>
      </w:r>
    </w:p>
    <w:bookmarkStart w:id="67" w:name="tables"/>
    <w:bookmarkEnd w:id="67"/>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1131"/>
        <w:gridCol w:w="1131"/>
        <w:gridCol w:w="1131"/>
        <w:gridCol w:w="1131"/>
        <w:gridCol w:w="1131"/>
        <w:gridCol w:w="1131"/>
        <w:gridCol w:w="1131"/>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68"/>
    <w:bookmarkStart w:id="74" w:name="figures"/>
    <w:p>
      <w:pPr>
        <w:pStyle w:val="Heading1"/>
      </w:pPr>
      <w:r>
        <w:t xml:space="preserve">Figures</w:t>
      </w:r>
    </w:p>
    <w:bookmarkStart w:id="69" w:name="figures"/>
    <w:bookmarkEnd w:id="69"/>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bookmarkStart w:id="73" w:name="colophon"/>
    <w:p>
      <w:pPr>
        <w:pStyle w:val="Heading3"/>
      </w:pPr>
      <w:r>
        <w:t xml:space="preserve">Colophon</w:t>
      </w:r>
    </w:p>
    <w:p>
      <w:pPr>
        <w:pStyle w:val="FirstParagraph"/>
      </w:pPr>
      <w:r>
        <w:t xml:space="preserve">This report was generated on 2021-11-23 07:45:49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[46f55fe] 2021-11-20: added Nick's gastric lavage code</w:t>
      </w:r>
    </w:p>
    <w:bookmarkEnd w:id="73"/>
    <w:bookmarkEnd w:id="74"/>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0" Target="media/rId70.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2021-11-23T14:45:51Z</dcterms:created>
  <dcterms:modified xsi:type="dcterms:W3CDTF">2021-11-23T14:45:51Z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